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46 vom 16. April 2024</w:t>
      </w:r>
    </w:p>
    <w:p>
      <w:r>
        <w:t>GR Gerichte, 2024-04-16, IT</w:t>
      </w:r>
    </w:p>
    <w:p>
      <w:r>
        <w:rPr>
          <w:b/>
        </w:rPr>
        <w:t xml:space="preserve">Quelle: </w:t>
      </w:r>
      <w:r>
        <w:t>https://mcp.opencaselaw.ch/entscheid/gr_gerichte_SBK 2026 46</w:t>
      </w:r>
    </w:p>
    <w:p>
      <w:r>
        <w:t>FR: GR_GERICHTE SBK 2026 46 du 16 avril 2024</w:t>
      </w:r>
    </w:p>
    <w:p>
      <w:r>
        <w:t>IT: GR_GERICHTE SBK 2026 46 del 16 aprile 2024</w:t>
      </w:r>
    </w:p>
    <w:p>
      <w:pPr>
        <w:pStyle w:val="Heading2"/>
      </w:pPr>
      <w:r>
        <w:t>Erwägungen</w:t>
      </w:r>
    </w:p>
    <w:p>
      <w:r>
        <w:rPr>
          <w:b/>
        </w:rPr>
        <w:t>E. 1</w:t>
      </w:r>
    </w:p>
    <w:p>
      <w:r>
        <w:t>La decisione impugnata – pronunciata in procedura sommaria (art. 251 lett. a CPC) – è una decisione di prima istanza finale e inappellabile (art. 309 lett. b n. 7 CPC), contro cui è dato il rimedio del reclamo (art. 174 cpv. 1 LEF e 319 lett. a CPC) alla Camera delle esecuzioni e dei fallimenti del Tribunale d'appello (art. 7 cpv. 1 LACPC [CSC 320.100] in combinato disposto con l'art. 11 cpv. 2 OOGTA [CSC 173.010]). Questa statuisce a giudice unico (art. 6 cpv. 1 lett. a LACPC). 2.1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 dicembre 2019 consid. 2.2). Per farlo, egli deve fornire prove concrete quali, segnatamente, ricevute di pagamento,</w:t>
      </w:r>
    </w:p>
    <w:p>
      <w:r>
        <w:rPr>
          <w:b/>
        </w:rPr>
        <w:t>E. 3</w:t>
      </w:r>
    </w:p>
    <w:p>
      <w:r>
        <w:t>/ 5 giustificativi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fondandosi esclusivamente su potenziali ricavi futuri (sentenza del Tribunale federale 5A_944/2013 del 19 marzo 2014 consid. 3.1 e 4.2). Non spetta, in ogni caso, all'autorità di ricorso ricercare d'ufficio eventuali mezzi di prova che non sono stati addotti dal debitore al quale incombe l'onere della prova (sentenza del Tribunale federale 5A_181/2018 del 30 aprile 2018 consid. 3.1). 2.2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(sentenza del Tribunale federale 5A_642/2010 del 7 dicembre 2010 consid. 2.3). A tal proposito non devono essere poste esigenze troppo severe, in modo particolare allorquando la possibilità che l'azienda sopravviva economicamente non può essere negata a priori e la mancanza di liquidità sufficiente appare passeggera (sentenza del Tribunale federale 5A_328/2011 dell'11 agosto 2011 consid. 2). 2.3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 und Konkursgesetz mit weiteren Erlassen, 20a ed. 2020, art. 174 n. 23; GIROUD/THEUS SIMONI, in: Staehelin/Bauer/Lorandi [edit.], Basler Kommentar, SchKG II, 3a ed. 2021, art. 174 n. 26b). 2.4 Quanto al requisito della solvibilità si osserva che la reclamante – secondo il bilancio intermedio al 31 marzo 2026 (act. B.8) – dispone di mezzi liquidi per CHF 9'422.38. A ciò si contrappongono debiti a breve termine per complessivi CHF 554'626.09. Gli attivi immediatamente e concretamente a disposizione della società non bastano quindi in alcun modo per estinguere i debiti esigibili entro un termine ragionevole. Ciò non sarebbe neppure il caso se, oltre ai mezzi liquidi, si</w:t>
      </w:r>
    </w:p>
    <w:p>
      <w:r>
        <w:rPr>
          <w:b/>
        </w:rPr>
        <w:t>E. 4</w:t>
      </w:r>
    </w:p>
    <w:p>
      <w:r>
        <w:t>La tassa di giustizia per la procedura di reclamo, fissata in virtù degli artt. 52 lett. b e 61 cpv. 1 OTLEF in CHF 500.00, è posta a carico della reclamante, soccombente, ai sensi dell'art. 106 cpv. 1 CPC. Non si assegnano ripetibili.</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